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10"/>
        <w:gridCol w:w="2490"/>
        <w:tblGridChange w:id="0">
          <w:tblGrid>
            <w:gridCol w:w="651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Fact about the Beaker 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True or false?</w:t>
            </w:r>
          </w:p>
        </w:tc>
      </w:tr>
      <w:tr>
        <w:trPr>
          <w:trHeight w:val="1498.3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Bronze was not yet being used in other parts of the world before it was discovered in Britain.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‘Beaker Folk’ were originally from Britain.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Beaker people caused a significant shift in culture in Britain.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Beaker people were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named after the distinctive bell-shaped pottery they made.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50505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beakers were used for drinking out of,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50505"/>
                <w:sz w:val="24"/>
                <w:szCs w:val="24"/>
                <w:rtl w:val="0"/>
              </w:rPr>
              <w:t xml:space="preserve">used as urns,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color w:val="050505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50505"/>
                <w:sz w:val="24"/>
                <w:szCs w:val="24"/>
                <w:rtl w:val="0"/>
              </w:rPr>
              <w:t xml:space="preserve">to smelt copper and to store food.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beakers were very plain and had no decoration.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50505"/>
                <w:rtl w:val="0"/>
              </w:rPr>
              <w:t xml:space="preserve">Beaker people introduced new types of weapons, ornaments and jewellery.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Excavations have shown that bell beakers were placed in tombs, which suggests that they were valued items.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