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The below are given to help you understand terminology used within education.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ELSA - Emotional Literacy Support Assistant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EP - Educational Psychologist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DFE - Department For Education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EWO - Educational Welfare Officer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EYFS - Early Years Foundation Stage (Nursery and Reception)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FSM - Free School Meals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HLTA - Higher Level Teaching Assistant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KS1 - Key Stage 1 ( Year groups 1 and 2)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KS2 - Key Stage 2 (Year groups 3,4,5 and 6)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LA - Local Authority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LAC - Looked After Children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LIST - Locality Inclusion Support Team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MFL - Modern Foreign Languages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NQT - Newly Qualified Teachers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OFSTED - Office For Standards In Education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PPA - Planning, Preparation and Assessment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RAISE - Raising Achievement In School Education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SATs - Standardised Assessment Tests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SEAL - Social and Emotional aspects to Learning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SEF - Self Evaluation Form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SEND - Special Educational Needs and Disabilities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SLT - Senior Leadership Team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SMT - Senior Management Team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SPAG - Spelling, Punctuation and Grammar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>TA - Teaching Assistant</w:t>
      </w:r>
    </w:p>
    <w:p w:rsidR="00FD65A4" w:rsidRDefault="00FD65A4" w:rsidP="00FD65A4">
      <w:pPr>
        <w:pStyle w:val="NormalWeb"/>
        <w:rPr>
          <w:rFonts w:ascii="Verdana" w:hAnsi="Verdana"/>
          <w:color w:val="111111"/>
          <w:sz w:val="23"/>
          <w:szCs w:val="23"/>
        </w:rPr>
      </w:pPr>
      <w:r>
        <w:rPr>
          <w:rFonts w:ascii="Verdana" w:hAnsi="Verdana"/>
          <w:color w:val="111111"/>
          <w:sz w:val="23"/>
          <w:szCs w:val="23"/>
        </w:rPr>
        <w:t xml:space="preserve"> </w:t>
      </w:r>
    </w:p>
    <w:p w:rsidR="007F6134" w:rsidRDefault="007F6134"/>
    <w:sectPr w:rsidR="007F6134" w:rsidSect="007F6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65A4"/>
    <w:rsid w:val="007F6134"/>
    <w:rsid w:val="00FD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5A4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220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Stewart</dc:creator>
  <cp:lastModifiedBy>Gordon Stewart</cp:lastModifiedBy>
  <cp:revision>1</cp:revision>
  <dcterms:created xsi:type="dcterms:W3CDTF">2014-10-31T21:43:00Z</dcterms:created>
  <dcterms:modified xsi:type="dcterms:W3CDTF">2014-10-31T21:44:00Z</dcterms:modified>
</cp:coreProperties>
</file>